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22" w:type="dxa"/>
        <w:tblLayout w:type="fixed"/>
        <w:tblLook w:val="04A0" w:firstRow="1" w:lastRow="0" w:firstColumn="1" w:lastColumn="0" w:noHBand="0" w:noVBand="1"/>
      </w:tblPr>
      <w:tblGrid>
        <w:gridCol w:w="3073"/>
        <w:gridCol w:w="6249"/>
      </w:tblGrid>
      <w:tr w:rsidR="00993D16" w:rsidRPr="0067314A" w:rsidTr="00993D16">
        <w:tc>
          <w:tcPr>
            <w:tcW w:w="9322" w:type="dxa"/>
            <w:gridSpan w:val="2"/>
          </w:tcPr>
          <w:p w:rsidR="00993D16" w:rsidRPr="00993D16" w:rsidRDefault="00993D16" w:rsidP="00993D16">
            <w:pPr>
              <w:ind w:left="720"/>
              <w:rPr>
                <w:b/>
                <w:sz w:val="28"/>
                <w:szCs w:val="28"/>
              </w:rPr>
            </w:pPr>
            <w:r w:rsidRPr="00993D16">
              <w:rPr>
                <w:b/>
                <w:sz w:val="28"/>
                <w:szCs w:val="28"/>
              </w:rPr>
              <w:t xml:space="preserve">Programma </w:t>
            </w:r>
            <w:proofErr w:type="spellStart"/>
            <w:r w:rsidRPr="00993D16">
              <w:rPr>
                <w:b/>
                <w:sz w:val="28"/>
                <w:szCs w:val="28"/>
              </w:rPr>
              <w:t>Entre</w:t>
            </w:r>
            <w:proofErr w:type="spellEnd"/>
            <w:r w:rsidRPr="00993D16">
              <w:rPr>
                <w:b/>
                <w:sz w:val="28"/>
                <w:szCs w:val="28"/>
              </w:rPr>
              <w:t xml:space="preserve"> Nous; communicatiecursus voor opleiders</w:t>
            </w:r>
          </w:p>
        </w:tc>
      </w:tr>
      <w:tr w:rsidR="00993D16" w:rsidRPr="0067314A" w:rsidTr="00993D16">
        <w:tc>
          <w:tcPr>
            <w:tcW w:w="3073" w:type="dxa"/>
          </w:tcPr>
          <w:p w:rsidR="00993D16" w:rsidRPr="00970045" w:rsidRDefault="00993D16" w:rsidP="00B05E4F">
            <w:pPr>
              <w:tabs>
                <w:tab w:val="left" w:pos="2268"/>
              </w:tabs>
              <w:rPr>
                <w:rFonts w:ascii="AZGCaspariT" w:hAnsi="AZGCaspariT"/>
                <w:b/>
              </w:rPr>
            </w:pPr>
            <w:r w:rsidRPr="00970045">
              <w:rPr>
                <w:rFonts w:ascii="AZGCaspariT" w:hAnsi="AZGCaspariT"/>
                <w:b/>
              </w:rPr>
              <w:t>Doel</w:t>
            </w:r>
            <w:r>
              <w:rPr>
                <w:rFonts w:ascii="AZGCaspariT" w:hAnsi="AZGCaspariT"/>
                <w:b/>
              </w:rPr>
              <w:t xml:space="preserve"> + leerdoelen</w:t>
            </w:r>
          </w:p>
        </w:tc>
        <w:tc>
          <w:tcPr>
            <w:tcW w:w="6249" w:type="dxa"/>
          </w:tcPr>
          <w:p w:rsidR="00993D16" w:rsidRPr="00D955DF" w:rsidRDefault="00993D16" w:rsidP="00993D16">
            <w:pPr>
              <w:numPr>
                <w:ilvl w:val="0"/>
                <w:numId w:val="1"/>
              </w:numPr>
            </w:pPr>
            <w:r w:rsidRPr="00D955DF">
              <w:t xml:space="preserve">Opleiders </w:t>
            </w:r>
            <w:r w:rsidRPr="000546C2">
              <w:rPr>
                <w:i/>
              </w:rPr>
              <w:t>weten</w:t>
            </w:r>
            <w:r w:rsidRPr="00D955DF">
              <w:t xml:space="preserve"> </w:t>
            </w:r>
            <w:r>
              <w:t>wat AIOS lastig vinden in hun professionele communicatie</w:t>
            </w:r>
          </w:p>
          <w:p w:rsidR="00993D16" w:rsidRDefault="00993D16" w:rsidP="00993D16">
            <w:pPr>
              <w:numPr>
                <w:ilvl w:val="0"/>
                <w:numId w:val="1"/>
              </w:numPr>
            </w:pPr>
            <w:r w:rsidRPr="00D955DF">
              <w:t xml:space="preserve">Opleiders </w:t>
            </w:r>
            <w:r w:rsidRPr="00CA3E19">
              <w:rPr>
                <w:i/>
              </w:rPr>
              <w:t>informeren en inspireren</w:t>
            </w:r>
            <w:r w:rsidRPr="00D955DF">
              <w:t xml:space="preserve"> </w:t>
            </w:r>
            <w:r>
              <w:t xml:space="preserve">elkaar </w:t>
            </w:r>
            <w:r w:rsidRPr="00D955DF">
              <w:t>over de wijze waarop zij met AIOS communiceren</w:t>
            </w:r>
            <w:r>
              <w:t>.</w:t>
            </w:r>
          </w:p>
          <w:p w:rsidR="00993D16" w:rsidRPr="00D955DF" w:rsidRDefault="00993D16" w:rsidP="00993D16">
            <w:pPr>
              <w:numPr>
                <w:ilvl w:val="0"/>
                <w:numId w:val="1"/>
              </w:numPr>
            </w:pPr>
            <w:r w:rsidRPr="00D955DF">
              <w:t xml:space="preserve">Opleiders </w:t>
            </w:r>
            <w:r w:rsidRPr="00CA3E19">
              <w:rPr>
                <w:i/>
              </w:rPr>
              <w:t>krijgen inzicht</w:t>
            </w:r>
            <w:r w:rsidRPr="00D955DF">
              <w:t xml:space="preserve"> in de mogelijkheden om Aios te helpen met commu</w:t>
            </w:r>
            <w:r>
              <w:t>nicatieproblemen en welke rol d</w:t>
            </w:r>
            <w:r w:rsidRPr="00D955DF">
              <w:t xml:space="preserve">e opleiders daarbij kunnen </w:t>
            </w:r>
            <w:r>
              <w:t>spel</w:t>
            </w:r>
            <w:r w:rsidRPr="00D955DF">
              <w:t xml:space="preserve">en. </w:t>
            </w:r>
          </w:p>
          <w:p w:rsidR="00993D16" w:rsidRDefault="00993D16" w:rsidP="00993D16">
            <w:pPr>
              <w:numPr>
                <w:ilvl w:val="0"/>
                <w:numId w:val="1"/>
              </w:numPr>
            </w:pPr>
            <w:r>
              <w:t>O</w:t>
            </w:r>
            <w:r w:rsidRPr="00D955DF">
              <w:t xml:space="preserve">pleiders komen in samenwerking tot </w:t>
            </w:r>
            <w:r w:rsidRPr="00CA3E19">
              <w:rPr>
                <w:i/>
              </w:rPr>
              <w:t>inzichten</w:t>
            </w:r>
            <w:r>
              <w:t xml:space="preserve"> in </w:t>
            </w:r>
            <w:r w:rsidRPr="00D955DF">
              <w:t xml:space="preserve">een effectieve aanpak van de knelpunten die </w:t>
            </w:r>
            <w:r>
              <w:t>zij</w:t>
            </w:r>
            <w:r w:rsidRPr="00D955DF">
              <w:t xml:space="preserve"> ervaren in hun rol als opleider. </w:t>
            </w:r>
          </w:p>
          <w:p w:rsidR="00993D16" w:rsidRDefault="00993D16" w:rsidP="00993D16">
            <w:pPr>
              <w:numPr>
                <w:ilvl w:val="0"/>
                <w:numId w:val="1"/>
              </w:numPr>
            </w:pPr>
            <w:r>
              <w:t>Opleiders kunnen de AIOS constructief feedback geven.</w:t>
            </w:r>
          </w:p>
          <w:p w:rsidR="00993D16" w:rsidRPr="0067314A" w:rsidRDefault="00993D16" w:rsidP="00B05E4F">
            <w:pPr>
              <w:pStyle w:val="Kop1"/>
              <w:outlineLvl w:val="0"/>
              <w:rPr>
                <w:rFonts w:ascii="AZGCaspariT" w:hAnsi="AZGCaspariT"/>
              </w:rPr>
            </w:pPr>
          </w:p>
        </w:tc>
      </w:tr>
      <w:tr w:rsidR="00993D16" w:rsidRPr="0067314A" w:rsidTr="00993D16">
        <w:tc>
          <w:tcPr>
            <w:tcW w:w="3073" w:type="dxa"/>
          </w:tcPr>
          <w:p w:rsidR="00993D16" w:rsidRPr="00970045" w:rsidRDefault="00993D16" w:rsidP="00B05E4F">
            <w:pPr>
              <w:tabs>
                <w:tab w:val="left" w:pos="2268"/>
              </w:tabs>
              <w:rPr>
                <w:rFonts w:ascii="AZGCaspariT" w:hAnsi="AZGCaspariT"/>
                <w:b/>
              </w:rPr>
            </w:pPr>
            <w:r>
              <w:rPr>
                <w:rFonts w:ascii="AZGCaspariT" w:hAnsi="AZGCaspariT"/>
                <w:b/>
              </w:rPr>
              <w:t>Inhoud programma</w:t>
            </w:r>
          </w:p>
        </w:tc>
        <w:tc>
          <w:tcPr>
            <w:tcW w:w="6249" w:type="dxa"/>
          </w:tcPr>
          <w:p w:rsidR="00993D16" w:rsidRDefault="00993D16" w:rsidP="00B05E4F">
            <w:r>
              <w:t>Per jaar zien de trainers van deze cursus zo’n 400 AIOS in de communicatiecursussen en in intervisie. Zij horen en zien veel van de lastige situaties waar AIOS tegenaan lopen en waar ze behoefte aan hebben. Zonder afbreuk te doen aan de privacy van de AIOS, willen zij een aantal van deze situaties en inzichten aan de opleiders voorleggen. In het  ochtenddeel begeleiden de trainers een dialoog en een discussie aan de hand van een presentatie met inzichten uit het onderwijs en filmfragmenten waarin communicatieve knelpunten naar voren komen. In het middagdeel oefenen de opleiders met acteurs in casuïstiek die de praktijk van de AIOS en de opleiding raakt. Vragen die deze dag aan de orde kunnen(‘kunnen’ betekent dat we hierin keuzes maken op grond van wat leeft)komen zijn:</w:t>
            </w:r>
          </w:p>
          <w:p w:rsidR="00993D16" w:rsidRDefault="00993D16" w:rsidP="00993D16">
            <w:pPr>
              <w:numPr>
                <w:ilvl w:val="0"/>
                <w:numId w:val="2"/>
              </w:numPr>
            </w:pPr>
            <w:r>
              <w:t>Wat vinden AIOS lastig in hun gesprekken met patiënten, collega’s, bazen, verpleging?</w:t>
            </w:r>
          </w:p>
          <w:p w:rsidR="00993D16" w:rsidRDefault="00993D16" w:rsidP="00993D16">
            <w:pPr>
              <w:numPr>
                <w:ilvl w:val="0"/>
                <w:numId w:val="2"/>
              </w:numPr>
            </w:pPr>
            <w:r>
              <w:t>Hoe werken wij in ons onderwijs met de AIOS?</w:t>
            </w:r>
          </w:p>
          <w:p w:rsidR="00993D16" w:rsidRDefault="00993D16" w:rsidP="00993D16">
            <w:pPr>
              <w:numPr>
                <w:ilvl w:val="0"/>
                <w:numId w:val="2"/>
              </w:numPr>
            </w:pPr>
            <w:r>
              <w:t>Hoe communiceren opleider en AIOS met elkaar?</w:t>
            </w:r>
          </w:p>
          <w:p w:rsidR="00993D16" w:rsidRDefault="00993D16" w:rsidP="00993D16">
            <w:pPr>
              <w:numPr>
                <w:ilvl w:val="1"/>
                <w:numId w:val="2"/>
              </w:numPr>
            </w:pPr>
            <w:r>
              <w:t>Wat vindt de AIOS daar lastig aan?</w:t>
            </w:r>
          </w:p>
          <w:p w:rsidR="00993D16" w:rsidRDefault="00993D16" w:rsidP="00993D16">
            <w:pPr>
              <w:numPr>
                <w:ilvl w:val="1"/>
                <w:numId w:val="2"/>
              </w:numPr>
            </w:pPr>
            <w:r>
              <w:t>Wat vindt de opleider daar lastig aan?</w:t>
            </w:r>
          </w:p>
          <w:p w:rsidR="00993D16" w:rsidRDefault="00993D16" w:rsidP="00993D16">
            <w:pPr>
              <w:numPr>
                <w:ilvl w:val="0"/>
                <w:numId w:val="2"/>
              </w:numPr>
            </w:pPr>
            <w:r>
              <w:t>Hoe worden AIOS beoordeeld?</w:t>
            </w:r>
          </w:p>
          <w:p w:rsidR="00993D16" w:rsidRDefault="00993D16" w:rsidP="00993D16">
            <w:pPr>
              <w:numPr>
                <w:ilvl w:val="0"/>
                <w:numId w:val="2"/>
              </w:numPr>
            </w:pPr>
            <w:r>
              <w:t>Wat hebben AIOS nodig van hun opleider?</w:t>
            </w:r>
          </w:p>
          <w:p w:rsidR="00993D16" w:rsidRDefault="00993D16" w:rsidP="00993D16">
            <w:pPr>
              <w:numPr>
                <w:ilvl w:val="0"/>
                <w:numId w:val="2"/>
              </w:numPr>
            </w:pPr>
            <w:r>
              <w:t>Welke eisen stellen de opleiders aan een professioneel leerklimaat en –proces voor de AIOS?</w:t>
            </w:r>
          </w:p>
          <w:p w:rsidR="00993D16" w:rsidRDefault="00993D16" w:rsidP="00993D16">
            <w:pPr>
              <w:numPr>
                <w:ilvl w:val="0"/>
                <w:numId w:val="2"/>
              </w:numPr>
            </w:pPr>
            <w:r>
              <w:t>Welke rol speelt de opleider daarin?</w:t>
            </w:r>
          </w:p>
          <w:p w:rsidR="00993D16" w:rsidRDefault="00993D16" w:rsidP="00993D16">
            <w:pPr>
              <w:numPr>
                <w:ilvl w:val="0"/>
                <w:numId w:val="2"/>
              </w:numPr>
            </w:pPr>
            <w:r>
              <w:t>Hoe kijkt de opleider aan tegen (leer)veiligheid op de werkvloer?</w:t>
            </w:r>
          </w:p>
          <w:p w:rsidR="00993D16" w:rsidRPr="0067314A" w:rsidRDefault="00993D16" w:rsidP="00B05E4F">
            <w:pPr>
              <w:rPr>
                <w:rFonts w:ascii="AZGCaspariT" w:hAnsi="AZGCaspariT"/>
              </w:rPr>
            </w:pPr>
          </w:p>
        </w:tc>
      </w:tr>
      <w:tr w:rsidR="00993D16" w:rsidTr="00993D16">
        <w:tc>
          <w:tcPr>
            <w:tcW w:w="3073" w:type="dxa"/>
          </w:tcPr>
          <w:p w:rsidR="00993D16" w:rsidRPr="00970045" w:rsidRDefault="00993D16" w:rsidP="00B05E4F">
            <w:pPr>
              <w:tabs>
                <w:tab w:val="left" w:pos="2268"/>
              </w:tabs>
              <w:rPr>
                <w:rFonts w:ascii="AZGCaspariT" w:hAnsi="AZGCaspariT"/>
                <w:b/>
              </w:rPr>
            </w:pPr>
            <w:r>
              <w:rPr>
                <w:rFonts w:ascii="AZGCaspariT" w:hAnsi="AZGCaspariT"/>
                <w:b/>
              </w:rPr>
              <w:t>B</w:t>
            </w:r>
            <w:r w:rsidRPr="00970045">
              <w:rPr>
                <w:rFonts w:ascii="AZGCaspariT" w:hAnsi="AZGCaspariT"/>
                <w:b/>
              </w:rPr>
              <w:t>egin</w:t>
            </w:r>
            <w:r>
              <w:rPr>
                <w:rFonts w:ascii="AZGCaspariT" w:hAnsi="AZGCaspariT"/>
                <w:b/>
              </w:rPr>
              <w:t>- en eindtijd</w:t>
            </w:r>
          </w:p>
        </w:tc>
        <w:tc>
          <w:tcPr>
            <w:tcW w:w="6249" w:type="dxa"/>
          </w:tcPr>
          <w:p w:rsidR="00993D16" w:rsidRDefault="00993D16" w:rsidP="00B05E4F">
            <w:pPr>
              <w:tabs>
                <w:tab w:val="left" w:pos="2268"/>
              </w:tabs>
              <w:rPr>
                <w:rFonts w:ascii="AZGCaspariT" w:hAnsi="AZGCaspariT"/>
              </w:rPr>
            </w:pPr>
            <w:r>
              <w:rPr>
                <w:rFonts w:ascii="AZGCaspariT" w:hAnsi="AZGCaspariT"/>
              </w:rPr>
              <w:t>09:30 – 17:00 uur</w:t>
            </w:r>
          </w:p>
        </w:tc>
      </w:tr>
      <w:tr w:rsidR="00993D16" w:rsidTr="00993D16">
        <w:tc>
          <w:tcPr>
            <w:tcW w:w="3073" w:type="dxa"/>
          </w:tcPr>
          <w:p w:rsidR="00993D16" w:rsidRPr="00970045" w:rsidRDefault="00993D16" w:rsidP="00B05E4F">
            <w:pPr>
              <w:tabs>
                <w:tab w:val="left" w:pos="2268"/>
              </w:tabs>
              <w:rPr>
                <w:rFonts w:ascii="AZGCaspariT" w:hAnsi="AZGCaspariT"/>
                <w:b/>
              </w:rPr>
            </w:pPr>
            <w:r>
              <w:rPr>
                <w:rFonts w:ascii="AZGCaspariT" w:hAnsi="AZGCaspariT"/>
                <w:b/>
              </w:rPr>
              <w:t>Pauzes (begin- en eindtijd)</w:t>
            </w:r>
          </w:p>
        </w:tc>
        <w:tc>
          <w:tcPr>
            <w:tcW w:w="6249" w:type="dxa"/>
          </w:tcPr>
          <w:p w:rsidR="00993D16" w:rsidRDefault="00993D16" w:rsidP="00B05E4F">
            <w:pPr>
              <w:tabs>
                <w:tab w:val="left" w:pos="2268"/>
              </w:tabs>
              <w:rPr>
                <w:rFonts w:ascii="AZGCaspariT" w:hAnsi="AZGCaspariT"/>
              </w:rPr>
            </w:pPr>
            <w:r>
              <w:rPr>
                <w:rFonts w:ascii="AZGCaspariT" w:hAnsi="AZGCaspariT"/>
              </w:rPr>
              <w:t>11:00 – 11:15 uur.  12:30 – 13:30 uur.  15:00 – 15:15 uur</w:t>
            </w:r>
          </w:p>
        </w:tc>
      </w:tr>
      <w:tr w:rsidR="00993D16" w:rsidTr="00993D16">
        <w:tc>
          <w:tcPr>
            <w:tcW w:w="3073" w:type="dxa"/>
          </w:tcPr>
          <w:p w:rsidR="00993D16" w:rsidRPr="00970045" w:rsidRDefault="00993D16" w:rsidP="00B05E4F">
            <w:pPr>
              <w:tabs>
                <w:tab w:val="left" w:pos="2268"/>
              </w:tabs>
              <w:rPr>
                <w:rFonts w:ascii="AZGCaspariT" w:hAnsi="AZGCaspariT"/>
                <w:b/>
              </w:rPr>
            </w:pPr>
            <w:r w:rsidRPr="00970045">
              <w:rPr>
                <w:rFonts w:ascii="AZGCaspariT" w:hAnsi="AZGCaspariT"/>
                <w:b/>
              </w:rPr>
              <w:t>Duur: aantal dagen, incl. data</w:t>
            </w:r>
          </w:p>
        </w:tc>
        <w:tc>
          <w:tcPr>
            <w:tcW w:w="6249" w:type="dxa"/>
          </w:tcPr>
          <w:p w:rsidR="00E454CB" w:rsidRDefault="00993D16" w:rsidP="00B05E4F">
            <w:pPr>
              <w:tabs>
                <w:tab w:val="left" w:pos="2268"/>
              </w:tabs>
              <w:rPr>
                <w:rFonts w:ascii="AZGCaspariT" w:hAnsi="AZGCaspariT"/>
              </w:rPr>
            </w:pPr>
            <w:r>
              <w:rPr>
                <w:rFonts w:ascii="AZGCaspariT" w:hAnsi="AZGCaspariT"/>
              </w:rPr>
              <w:t xml:space="preserve">1 dag per groep. </w:t>
            </w:r>
          </w:p>
          <w:p w:rsidR="00E454CB" w:rsidRDefault="00993D16" w:rsidP="00B05E4F">
            <w:pPr>
              <w:tabs>
                <w:tab w:val="left" w:pos="2268"/>
              </w:tabs>
              <w:rPr>
                <w:rFonts w:ascii="AZGCaspariT" w:hAnsi="AZGCaspariT"/>
              </w:rPr>
            </w:pPr>
            <w:r>
              <w:rPr>
                <w:rFonts w:ascii="AZGCaspariT" w:hAnsi="AZGCaspariT"/>
              </w:rPr>
              <w:t xml:space="preserve">Groep 1: 2 februari 2018. </w:t>
            </w:r>
          </w:p>
          <w:p w:rsidR="00993D16" w:rsidRDefault="00993D16" w:rsidP="00B05E4F">
            <w:pPr>
              <w:tabs>
                <w:tab w:val="left" w:pos="2268"/>
              </w:tabs>
              <w:rPr>
                <w:rFonts w:ascii="AZGCaspariT" w:hAnsi="AZGCaspariT"/>
              </w:rPr>
            </w:pPr>
            <w:r>
              <w:rPr>
                <w:rFonts w:ascii="AZGCaspariT" w:hAnsi="AZGCaspariT"/>
              </w:rPr>
              <w:t>Groep 2: 13 april 2018</w:t>
            </w:r>
          </w:p>
        </w:tc>
      </w:tr>
      <w:tr w:rsidR="00993D16" w:rsidTr="00993D16">
        <w:tc>
          <w:tcPr>
            <w:tcW w:w="3073" w:type="dxa"/>
          </w:tcPr>
          <w:p w:rsidR="00993D16" w:rsidRPr="00970045" w:rsidRDefault="00993D16" w:rsidP="00B05E4F">
            <w:pPr>
              <w:tabs>
                <w:tab w:val="left" w:pos="2268"/>
              </w:tabs>
              <w:rPr>
                <w:rFonts w:ascii="AZGCaspariT" w:hAnsi="AZGCaspariT"/>
                <w:b/>
              </w:rPr>
            </w:pPr>
            <w:r w:rsidRPr="00970045">
              <w:rPr>
                <w:rFonts w:ascii="AZGCaspariT" w:hAnsi="AZGCaspariT"/>
                <w:b/>
              </w:rPr>
              <w:t>Locatie</w:t>
            </w:r>
          </w:p>
        </w:tc>
        <w:tc>
          <w:tcPr>
            <w:tcW w:w="6249" w:type="dxa"/>
          </w:tcPr>
          <w:p w:rsidR="00993D16" w:rsidRDefault="00993D16" w:rsidP="00B05E4F">
            <w:pPr>
              <w:tabs>
                <w:tab w:val="left" w:pos="2268"/>
              </w:tabs>
              <w:rPr>
                <w:rFonts w:ascii="AZGCaspariT" w:hAnsi="AZGCaspariT"/>
              </w:rPr>
            </w:pPr>
            <w:r>
              <w:rPr>
                <w:rFonts w:ascii="AZGCaspariT" w:hAnsi="AZGCaspariT"/>
              </w:rPr>
              <w:t xml:space="preserve">Landgoed </w:t>
            </w:r>
            <w:proofErr w:type="spellStart"/>
            <w:r>
              <w:rPr>
                <w:rFonts w:ascii="AZGCaspariT" w:hAnsi="AZGCaspariT"/>
              </w:rPr>
              <w:t>Lemferdinghe</w:t>
            </w:r>
            <w:proofErr w:type="spellEnd"/>
            <w:r>
              <w:rPr>
                <w:rFonts w:ascii="AZGCaspariT" w:hAnsi="AZGCaspariT"/>
              </w:rPr>
              <w:t xml:space="preserve"> Paterswolde</w:t>
            </w:r>
          </w:p>
        </w:tc>
      </w:tr>
      <w:tr w:rsidR="00993D16" w:rsidRPr="00566183" w:rsidTr="00993D16">
        <w:tc>
          <w:tcPr>
            <w:tcW w:w="3073" w:type="dxa"/>
          </w:tcPr>
          <w:p w:rsidR="00993D16" w:rsidRDefault="00993D16" w:rsidP="00B05E4F">
            <w:pPr>
              <w:tabs>
                <w:tab w:val="left" w:pos="2268"/>
              </w:tabs>
              <w:rPr>
                <w:rFonts w:ascii="AZGCaspariT" w:hAnsi="AZGCaspariT"/>
              </w:rPr>
            </w:pPr>
            <w:r>
              <w:rPr>
                <w:rFonts w:ascii="AZGCaspariT" w:hAnsi="AZGCaspariT"/>
                <w:b/>
              </w:rPr>
              <w:t>Type nascholing</w:t>
            </w:r>
          </w:p>
          <w:p w:rsidR="00993D16" w:rsidRPr="001B0B28" w:rsidRDefault="00993D16" w:rsidP="00B05E4F">
            <w:pPr>
              <w:tabs>
                <w:tab w:val="left" w:pos="2268"/>
              </w:tabs>
              <w:rPr>
                <w:rFonts w:ascii="AZGCaspariT" w:hAnsi="AZGCaspariT"/>
              </w:rPr>
            </w:pPr>
          </w:p>
        </w:tc>
        <w:tc>
          <w:tcPr>
            <w:tcW w:w="6249" w:type="dxa"/>
          </w:tcPr>
          <w:p w:rsidR="00993D16" w:rsidRDefault="00993D16" w:rsidP="00B05E4F">
            <w:pPr>
              <w:tabs>
                <w:tab w:val="left" w:pos="2268"/>
              </w:tabs>
              <w:rPr>
                <w:rFonts w:ascii="AZGCaspariT" w:hAnsi="AZGCaspariT"/>
              </w:rPr>
            </w:pPr>
            <w:r>
              <w:rPr>
                <w:rFonts w:ascii="AZGCaspariT" w:hAnsi="AZGCaspariT"/>
              </w:rPr>
              <w:t>Eendaagse Nascholing</w:t>
            </w:r>
          </w:p>
          <w:p w:rsidR="00993D16" w:rsidRPr="00566183" w:rsidRDefault="00993D16" w:rsidP="00B05E4F">
            <w:pPr>
              <w:tabs>
                <w:tab w:val="left" w:pos="2268"/>
              </w:tabs>
              <w:rPr>
                <w:rFonts w:ascii="AZGCaspariT" w:hAnsi="AZGCaspariT"/>
                <w:i/>
              </w:rPr>
            </w:pPr>
          </w:p>
        </w:tc>
      </w:tr>
    </w:tbl>
    <w:p w:rsidR="00FD7C9D" w:rsidRDefault="00FD7C9D">
      <w:bookmarkStart w:id="0" w:name="_GoBack"/>
      <w:bookmarkEnd w:id="0"/>
    </w:p>
    <w:sectPr w:rsidR="00FD7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ZGCaspariT">
    <w:panose1 w:val="02000503040000020003"/>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1CB"/>
    <w:multiLevelType w:val="hybridMultilevel"/>
    <w:tmpl w:val="E00CDF1E"/>
    <w:lvl w:ilvl="0" w:tplc="3D9274F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FC14A04"/>
    <w:multiLevelType w:val="hybridMultilevel"/>
    <w:tmpl w:val="A02A1A8C"/>
    <w:lvl w:ilvl="0" w:tplc="974A7D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16"/>
    <w:rsid w:val="00016184"/>
    <w:rsid w:val="0003078F"/>
    <w:rsid w:val="00045DA6"/>
    <w:rsid w:val="0005785C"/>
    <w:rsid w:val="00095368"/>
    <w:rsid w:val="000A65FE"/>
    <w:rsid w:val="000B5974"/>
    <w:rsid w:val="000C049E"/>
    <w:rsid w:val="000D5F90"/>
    <w:rsid w:val="00123B9F"/>
    <w:rsid w:val="00194325"/>
    <w:rsid w:val="001C6D81"/>
    <w:rsid w:val="001F12B9"/>
    <w:rsid w:val="00223FA5"/>
    <w:rsid w:val="00231498"/>
    <w:rsid w:val="002860B9"/>
    <w:rsid w:val="00295506"/>
    <w:rsid w:val="002B59DF"/>
    <w:rsid w:val="002C3FFA"/>
    <w:rsid w:val="002E3DA3"/>
    <w:rsid w:val="00311DFE"/>
    <w:rsid w:val="00325167"/>
    <w:rsid w:val="003905BB"/>
    <w:rsid w:val="0039097B"/>
    <w:rsid w:val="00393DD0"/>
    <w:rsid w:val="003C56EB"/>
    <w:rsid w:val="003F760D"/>
    <w:rsid w:val="0040068F"/>
    <w:rsid w:val="00402AA4"/>
    <w:rsid w:val="00426055"/>
    <w:rsid w:val="00443C89"/>
    <w:rsid w:val="004621BC"/>
    <w:rsid w:val="004D3A4C"/>
    <w:rsid w:val="0050629E"/>
    <w:rsid w:val="00563DB7"/>
    <w:rsid w:val="005B1C8E"/>
    <w:rsid w:val="005B5895"/>
    <w:rsid w:val="00631CE5"/>
    <w:rsid w:val="00642AC7"/>
    <w:rsid w:val="00673118"/>
    <w:rsid w:val="00673F07"/>
    <w:rsid w:val="006B6213"/>
    <w:rsid w:val="006C5D22"/>
    <w:rsid w:val="0071617D"/>
    <w:rsid w:val="00721AF2"/>
    <w:rsid w:val="00742CBC"/>
    <w:rsid w:val="00753C6A"/>
    <w:rsid w:val="007559EA"/>
    <w:rsid w:val="00780F86"/>
    <w:rsid w:val="00781887"/>
    <w:rsid w:val="0078324B"/>
    <w:rsid w:val="00785144"/>
    <w:rsid w:val="007D42AD"/>
    <w:rsid w:val="0084006A"/>
    <w:rsid w:val="0084062C"/>
    <w:rsid w:val="008676C3"/>
    <w:rsid w:val="00886C22"/>
    <w:rsid w:val="00886DF8"/>
    <w:rsid w:val="008F6F37"/>
    <w:rsid w:val="00926A04"/>
    <w:rsid w:val="00950DA2"/>
    <w:rsid w:val="00993D16"/>
    <w:rsid w:val="009A0083"/>
    <w:rsid w:val="009A051A"/>
    <w:rsid w:val="009E07B0"/>
    <w:rsid w:val="009E7062"/>
    <w:rsid w:val="00A0177C"/>
    <w:rsid w:val="00A13E25"/>
    <w:rsid w:val="00A705D3"/>
    <w:rsid w:val="00A77526"/>
    <w:rsid w:val="00A90946"/>
    <w:rsid w:val="00AA08DA"/>
    <w:rsid w:val="00AA0D8F"/>
    <w:rsid w:val="00AB0EC9"/>
    <w:rsid w:val="00AC172E"/>
    <w:rsid w:val="00AC49DD"/>
    <w:rsid w:val="00AE07D8"/>
    <w:rsid w:val="00AF35A1"/>
    <w:rsid w:val="00B60A5E"/>
    <w:rsid w:val="00B66F37"/>
    <w:rsid w:val="00B77032"/>
    <w:rsid w:val="00BE2E1E"/>
    <w:rsid w:val="00C5713B"/>
    <w:rsid w:val="00C607DB"/>
    <w:rsid w:val="00C74759"/>
    <w:rsid w:val="00C77100"/>
    <w:rsid w:val="00C936DF"/>
    <w:rsid w:val="00C95B62"/>
    <w:rsid w:val="00CA1389"/>
    <w:rsid w:val="00CC28F3"/>
    <w:rsid w:val="00CF2EAA"/>
    <w:rsid w:val="00D05174"/>
    <w:rsid w:val="00D950CF"/>
    <w:rsid w:val="00DA7A6A"/>
    <w:rsid w:val="00DC11A4"/>
    <w:rsid w:val="00DC6CF7"/>
    <w:rsid w:val="00E31AD4"/>
    <w:rsid w:val="00E36082"/>
    <w:rsid w:val="00E454CB"/>
    <w:rsid w:val="00E54011"/>
    <w:rsid w:val="00E542BF"/>
    <w:rsid w:val="00EB3546"/>
    <w:rsid w:val="00ED57F9"/>
    <w:rsid w:val="00F0117D"/>
    <w:rsid w:val="00F148E9"/>
    <w:rsid w:val="00F16E62"/>
    <w:rsid w:val="00F341EB"/>
    <w:rsid w:val="00F80467"/>
    <w:rsid w:val="00F91A10"/>
    <w:rsid w:val="00FB3160"/>
    <w:rsid w:val="00FC4394"/>
    <w:rsid w:val="00FD5948"/>
    <w:rsid w:val="00FD7C9D"/>
    <w:rsid w:val="00FE3202"/>
    <w:rsid w:val="00FF3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D16"/>
    <w:rPr>
      <w:rFonts w:eastAsiaTheme="minorEastAsia"/>
      <w:lang w:eastAsia="nl-NL"/>
    </w:rPr>
  </w:style>
  <w:style w:type="paragraph" w:styleId="Kop1">
    <w:name w:val="heading 1"/>
    <w:basedOn w:val="Standaard"/>
    <w:next w:val="Standaard"/>
    <w:link w:val="Kop1Char"/>
    <w:qFormat/>
    <w:rsid w:val="00993D16"/>
    <w:pPr>
      <w:keepNext/>
      <w:spacing w:after="0" w:line="240" w:lineRule="auto"/>
      <w:outlineLvl w:val="0"/>
    </w:pPr>
    <w:rPr>
      <w:rFonts w:ascii="Times New Roman" w:eastAsia="Times New Roman" w:hAnsi="Times New Roman" w:cs="Times New Roman"/>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3D16"/>
    <w:rPr>
      <w:rFonts w:ascii="Times New Roman" w:eastAsia="Times New Roman" w:hAnsi="Times New Roman" w:cs="Times New Roman"/>
      <w:i/>
      <w:iCs/>
      <w:sz w:val="24"/>
      <w:szCs w:val="24"/>
      <w:lang w:eastAsia="nl-NL"/>
    </w:rPr>
  </w:style>
  <w:style w:type="table" w:styleId="Tabelraster">
    <w:name w:val="Table Grid"/>
    <w:basedOn w:val="Standaardtabel"/>
    <w:uiPriority w:val="59"/>
    <w:rsid w:val="00993D1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D16"/>
    <w:rPr>
      <w:rFonts w:eastAsiaTheme="minorEastAsia"/>
      <w:lang w:eastAsia="nl-NL"/>
    </w:rPr>
  </w:style>
  <w:style w:type="paragraph" w:styleId="Kop1">
    <w:name w:val="heading 1"/>
    <w:basedOn w:val="Standaard"/>
    <w:next w:val="Standaard"/>
    <w:link w:val="Kop1Char"/>
    <w:qFormat/>
    <w:rsid w:val="00993D16"/>
    <w:pPr>
      <w:keepNext/>
      <w:spacing w:after="0" w:line="240" w:lineRule="auto"/>
      <w:outlineLvl w:val="0"/>
    </w:pPr>
    <w:rPr>
      <w:rFonts w:ascii="Times New Roman" w:eastAsia="Times New Roman" w:hAnsi="Times New Roman" w:cs="Times New Roman"/>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3D16"/>
    <w:rPr>
      <w:rFonts w:ascii="Times New Roman" w:eastAsia="Times New Roman" w:hAnsi="Times New Roman" w:cs="Times New Roman"/>
      <w:i/>
      <w:iCs/>
      <w:sz w:val="24"/>
      <w:szCs w:val="24"/>
      <w:lang w:eastAsia="nl-NL"/>
    </w:rPr>
  </w:style>
  <w:style w:type="table" w:styleId="Tabelraster">
    <w:name w:val="Table Grid"/>
    <w:basedOn w:val="Standaardtabel"/>
    <w:uiPriority w:val="59"/>
    <w:rsid w:val="00993D1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Ploeg, EAM van der</dc:creator>
  <cp:lastModifiedBy>Ploeg, EAM van der</cp:lastModifiedBy>
  <cp:revision>2</cp:revision>
  <dcterms:created xsi:type="dcterms:W3CDTF">2017-11-28T13:55:00Z</dcterms:created>
  <dcterms:modified xsi:type="dcterms:W3CDTF">2017-11-28T13:56:00Z</dcterms:modified>
</cp:coreProperties>
</file>